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00"/>
        <w:jc w:val="center"/>
      </w:pPr>
      <w:r>
        <w:rPr>
          <w:rFonts w:eastAsia="Times New Roman"/>
          <w:b/>
          <w:bCs/>
          <w:sz w:val="32"/>
          <w:szCs w:val="32"/>
        </w:rPr>
        <w:t>Target Discovery and</w:t>
      </w:r>
      <w:r>
        <w:rPr>
          <w:rFonts w:hint="eastAsia"/>
          <w:b/>
          <w:bCs/>
          <w:sz w:val="32"/>
          <w:szCs w:val="32"/>
        </w:rPr>
        <w:t xml:space="preserve"> </w:t>
      </w:r>
      <w:r>
        <w:rPr>
          <w:rFonts w:eastAsia="Times New Roman"/>
          <w:b/>
          <w:bCs/>
          <w:sz w:val="32"/>
          <w:szCs w:val="32"/>
        </w:rPr>
        <w:t>Drug Development for Aging-Related Diseases</w:t>
      </w:r>
    </w:p>
    <w:p>
      <w:pPr>
        <w:pStyle w:val="2"/>
      </w:pPr>
      <w:r>
        <w:t>Background and Overview</w:t>
      </w:r>
    </w:p>
    <w:p>
      <w:pPr>
        <w:spacing w:after="120" w:line="320" w:lineRule="auto"/>
        <w:jc w:val="both"/>
      </w:pPr>
      <w:r>
        <w:t>Rapid population aging worldwide has led to a sharp rise in the co-occurrence of cancer and metabolic diseases such as diabetes, obesity, and dyslipidemia. Elderly patients with these comorbidities frequently require multiple medications, resulting in polypharmacy that diminishes therapeutic efficacy, promotes drug resistance, increases adverse drug reactions (ADRs), and escalates healthcare costs. Addressing this challenge requires two things: better therapeutic targets that are relevant across both disease categories, and drugs designed with the pharmacological realities of elderly patients in mind.</w:t>
      </w:r>
    </w:p>
    <w:p>
      <w:pPr>
        <w:spacing w:after="120" w:line="320" w:lineRule="auto"/>
        <w:jc w:val="both"/>
      </w:pPr>
      <w:r>
        <w:t>Genomic and multi-omics studies have revealed that cancer and metabolic diseases share key molecular drivers—including transcription factors, scaffold proteins, and protein–protein interactions (PPIs)—that could serve as common therapeutic targets. However, many of these shared targets remain refractory to conventional small-molecule approaches, classified as “</w:t>
      </w:r>
      <w:r>
        <w:rPr>
          <w:b/>
          <w:bCs/>
          <w:highlight w:val="none"/>
        </w:rPr>
        <w:t>undruggable</w:t>
      </w:r>
      <w:r>
        <w:t>.” Emerging drug modalities now offer new solutions. Targeted protein modulation—including degradation via the ubiquitin–proteasome and autophagy–lysosome pathways (e.g., PROTACs, molecular glues, AUTACs), stabilization of protective proteins, and rational design of PPI modulators—enables precise control of disease-relevant protein levels through mechanisms beyond conventional inhibition.</w:t>
      </w:r>
    </w:p>
    <w:p>
      <w:pPr>
        <w:spacing w:after="120" w:line="320" w:lineRule="auto"/>
        <w:jc w:val="both"/>
      </w:pPr>
      <w:r>
        <w:t>Critically, developing these new modality drugs for elderly patients introduces unique pharmacological considerations: age-related changes in drug absorption, distribution, metabolism, and excretion, combined with polypharmacy-driven drug–drug interactions, require that candidate modulators be designed and evaluated with these factors in mind from the earliest stages. This demands an integrated approach combining bioinformatics-driven target discovery, modulator design and synthesis, and pharmacological validation tailored to aging populations. As both Korea and China are actively pursuing research in these areas, a bilateral program that enables researchers to share insights, compare findings, and learn from each other’s approaches can accelerate progress on both sides.</w:t>
      </w:r>
    </w:p>
    <w:p>
      <w:pPr>
        <w:pStyle w:val="2"/>
      </w:pPr>
      <w:bookmarkStart w:id="0" w:name="_GoBack"/>
      <w:bookmarkEnd w:id="0"/>
      <w:r>
        <w:t>Importance of Collaboration</w:t>
      </w:r>
    </w:p>
    <w:p>
      <w:pPr>
        <w:spacing w:after="120" w:line="320" w:lineRule="auto"/>
        <w:jc w:val="both"/>
      </w:pPr>
      <w:r>
        <w:t>Developing new modality drugs for undruggable targets in aging populations requires expertise that spans target discovery, modulator chemistry, and age-specific pharmacological evaluation. Through joint seminars, reciprocal laboratory visits, and collaborative workshops, researchers from both countries can exchange methodologies, assay protocols, and research findings, accelerating progress in each country’s own research programs. Comparing pharmacological observations across Korean and Chinese patient contexts is especially valuable, as polypharmacy patterns and adverse drug reaction profiles differ by population and healthcare system. Such cross-national comparison helps researchers identify robust targets and design modulators with better translational potential for elderly patients. The partnership will advance new drug development for currently intractable diseases in both countries and lay a foundation for sustained bilateral academic exchange.</w:t>
      </w:r>
    </w:p>
    <w:p>
      <w:pPr>
        <w:pStyle w:val="2"/>
      </w:pPr>
      <w:r>
        <w:t>Main Themes Included</w:t>
      </w:r>
    </w:p>
    <w:p>
      <w:pPr>
        <w:pStyle w:val="19"/>
        <w:numPr>
          <w:ilvl w:val="0"/>
          <w:numId w:val="1"/>
        </w:numPr>
        <w:spacing w:after="80" w:line="320" w:lineRule="auto"/>
      </w:pPr>
      <w:r>
        <w:t>Network-based discovery of shared undruggable targets across cancer and metabolic disease pathways in aging populations</w:t>
      </w:r>
    </w:p>
    <w:p>
      <w:pPr>
        <w:pStyle w:val="19"/>
        <w:numPr>
          <w:ilvl w:val="0"/>
          <w:numId w:val="1"/>
        </w:numPr>
        <w:spacing w:after="80" w:line="320" w:lineRule="auto"/>
      </w:pPr>
      <w:r>
        <w:t>Design, synthesis, and optimization of targeted protein modulators—degraders (PROTACs, molecular glues, AUTACs), stabilizers, and PPI modulators</w:t>
      </w:r>
    </w:p>
    <w:p>
      <w:pPr>
        <w:pStyle w:val="19"/>
        <w:numPr>
          <w:ilvl w:val="0"/>
          <w:numId w:val="1"/>
        </w:numPr>
        <w:spacing w:after="80" w:line="320" w:lineRule="auto"/>
      </w:pPr>
      <w:r>
        <w:t>Pharmacological validation, drug interaction profiling, and safety assessment in aging-related disease models</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Malgun Gothic">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3A056C"/>
    <w:multiLevelType w:val="multilevel"/>
    <w:tmpl w:val="573A056C"/>
    <w:lvl w:ilvl="0" w:tentative="0">
      <w:start w:val="1"/>
      <w:numFmt w:val="bullet"/>
      <w:lvlText w:val="•"/>
      <w:lvlJc w:val="left"/>
      <w:pPr>
        <w:ind w:left="7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80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6E0"/>
    <w:rsid w:val="0005034A"/>
    <w:rsid w:val="002E46E0"/>
    <w:rsid w:val="005C7C7F"/>
    <w:rsid w:val="005E33CF"/>
    <w:rsid w:val="1BEFB2EA"/>
    <w:rsid w:val="5CAFAF17"/>
    <w:rsid w:val="5F17F6C9"/>
    <w:rsid w:val="BBFEB6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pPr>
    <w:rPr>
      <w:rFonts w:ascii="Times New Roman" w:hAnsi="Times New Roman" w:cs="Times New Roman" w:eastAsiaTheme="minorEastAsia"/>
      <w:sz w:val="24"/>
      <w:szCs w:val="24"/>
      <w:lang w:val="en-US" w:eastAsia="ko-KR" w:bidi="ar-SA"/>
    </w:rPr>
  </w:style>
  <w:style w:type="paragraph" w:styleId="2">
    <w:name w:val="heading 1"/>
    <w:qFormat/>
    <w:uiPriority w:val="9"/>
    <w:pPr>
      <w:spacing w:before="240" w:after="120"/>
      <w:outlineLvl w:val="0"/>
    </w:pPr>
    <w:rPr>
      <w:rFonts w:ascii="Times New Roman" w:hAnsi="Times New Roman" w:eastAsia="Times New Roman" w:cs="Times New Roman"/>
      <w:b/>
      <w:bCs/>
      <w:sz w:val="28"/>
      <w:szCs w:val="28"/>
      <w:lang w:val="en-US" w:eastAsia="ko-KR" w:bidi="ar-SA"/>
    </w:rPr>
  </w:style>
  <w:style w:type="paragraph" w:styleId="3">
    <w:name w:val="heading 2"/>
    <w:semiHidden/>
    <w:unhideWhenUsed/>
    <w:qFormat/>
    <w:uiPriority w:val="9"/>
    <w:pPr>
      <w:outlineLvl w:val="1"/>
    </w:pPr>
    <w:rPr>
      <w:rFonts w:ascii="Times New Roman" w:hAnsi="Times New Roman" w:cs="Times New Roman" w:eastAsiaTheme="minorEastAsia"/>
      <w:color w:val="2E74B5"/>
      <w:sz w:val="26"/>
      <w:szCs w:val="26"/>
      <w:lang w:val="en-US" w:eastAsia="ko-KR" w:bidi="ar-SA"/>
    </w:rPr>
  </w:style>
  <w:style w:type="paragraph" w:styleId="4">
    <w:name w:val="heading 3"/>
    <w:semiHidden/>
    <w:unhideWhenUsed/>
    <w:qFormat/>
    <w:uiPriority w:val="9"/>
    <w:pPr>
      <w:outlineLvl w:val="2"/>
    </w:pPr>
    <w:rPr>
      <w:rFonts w:ascii="Times New Roman" w:hAnsi="Times New Roman" w:cs="Times New Roman" w:eastAsiaTheme="minorEastAsia"/>
      <w:color w:val="1F4D78"/>
      <w:sz w:val="24"/>
      <w:szCs w:val="24"/>
      <w:lang w:val="en-US" w:eastAsia="ko-KR" w:bidi="ar-SA"/>
    </w:rPr>
  </w:style>
  <w:style w:type="paragraph" w:styleId="5">
    <w:name w:val="heading 4"/>
    <w:semiHidden/>
    <w:unhideWhenUsed/>
    <w:qFormat/>
    <w:uiPriority w:val="9"/>
    <w:pPr>
      <w:outlineLvl w:val="3"/>
    </w:pPr>
    <w:rPr>
      <w:rFonts w:ascii="Times New Roman" w:hAnsi="Times New Roman" w:cs="Times New Roman" w:eastAsiaTheme="minorEastAsia"/>
      <w:i/>
      <w:iCs/>
      <w:color w:val="2E74B5"/>
      <w:sz w:val="24"/>
      <w:szCs w:val="24"/>
      <w:lang w:val="en-US" w:eastAsia="ko-KR" w:bidi="ar-SA"/>
    </w:rPr>
  </w:style>
  <w:style w:type="paragraph" w:styleId="6">
    <w:name w:val="heading 5"/>
    <w:semiHidden/>
    <w:unhideWhenUsed/>
    <w:qFormat/>
    <w:uiPriority w:val="9"/>
    <w:pPr>
      <w:outlineLvl w:val="4"/>
    </w:pPr>
    <w:rPr>
      <w:rFonts w:ascii="Times New Roman" w:hAnsi="Times New Roman" w:cs="Times New Roman" w:eastAsiaTheme="minorEastAsia"/>
      <w:color w:val="2E74B5"/>
      <w:sz w:val="24"/>
      <w:szCs w:val="24"/>
      <w:lang w:val="en-US" w:eastAsia="ko-KR" w:bidi="ar-SA"/>
    </w:rPr>
  </w:style>
  <w:style w:type="paragraph" w:styleId="7">
    <w:name w:val="heading 6"/>
    <w:semiHidden/>
    <w:unhideWhenUsed/>
    <w:qFormat/>
    <w:uiPriority w:val="9"/>
    <w:pPr>
      <w:outlineLvl w:val="5"/>
    </w:pPr>
    <w:rPr>
      <w:rFonts w:ascii="Times New Roman" w:hAnsi="Times New Roman" w:cs="Times New Roman" w:eastAsiaTheme="minorEastAsia"/>
      <w:color w:val="1F4D78"/>
      <w:sz w:val="24"/>
      <w:szCs w:val="24"/>
      <w:lang w:val="en-US" w:eastAsia="ko-KR"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endnote text"/>
    <w:link w:val="21"/>
    <w:semiHidden/>
    <w:unhideWhenUsed/>
    <w:qFormat/>
    <w:uiPriority w:val="99"/>
    <w:rPr>
      <w:rFonts w:ascii="Times New Roman" w:hAnsi="Times New Roman" w:cs="Times New Roman" w:eastAsiaTheme="minorEastAsia"/>
      <w:sz w:val="20"/>
      <w:szCs w:val="20"/>
      <w:lang w:val="en-US" w:eastAsia="ko-KR" w:bidi="ar-SA"/>
    </w:rPr>
  </w:style>
  <w:style w:type="paragraph" w:styleId="9">
    <w:name w:val="footer"/>
    <w:basedOn w:val="1"/>
    <w:link w:val="23"/>
    <w:unhideWhenUsed/>
    <w:qFormat/>
    <w:uiPriority w:val="99"/>
    <w:pPr>
      <w:tabs>
        <w:tab w:val="center" w:pos="4513"/>
        <w:tab w:val="right" w:pos="9026"/>
      </w:tabs>
      <w:snapToGrid w:val="0"/>
    </w:pPr>
  </w:style>
  <w:style w:type="paragraph" w:styleId="10">
    <w:name w:val="header"/>
    <w:basedOn w:val="1"/>
    <w:link w:val="22"/>
    <w:unhideWhenUsed/>
    <w:qFormat/>
    <w:uiPriority w:val="99"/>
    <w:pPr>
      <w:tabs>
        <w:tab w:val="center" w:pos="4513"/>
        <w:tab w:val="right" w:pos="9026"/>
      </w:tabs>
      <w:snapToGrid w:val="0"/>
    </w:pPr>
  </w:style>
  <w:style w:type="paragraph" w:styleId="11">
    <w:name w:val="footnote text"/>
    <w:link w:val="20"/>
    <w:semiHidden/>
    <w:unhideWhenUsed/>
    <w:qFormat/>
    <w:uiPriority w:val="99"/>
    <w:rPr>
      <w:rFonts w:ascii="Times New Roman" w:hAnsi="Times New Roman" w:cs="Times New Roman" w:eastAsiaTheme="minorEastAsia"/>
      <w:sz w:val="20"/>
      <w:szCs w:val="20"/>
      <w:lang w:val="en-US" w:eastAsia="ko-KR" w:bidi="ar-SA"/>
    </w:rPr>
  </w:style>
  <w:style w:type="paragraph" w:styleId="12">
    <w:name w:val="Title"/>
    <w:qFormat/>
    <w:uiPriority w:val="10"/>
    <w:rPr>
      <w:rFonts w:ascii="Times New Roman" w:hAnsi="Times New Roman" w:cs="Times New Roman" w:eastAsiaTheme="minorEastAsia"/>
      <w:sz w:val="56"/>
      <w:szCs w:val="56"/>
      <w:lang w:val="en-US" w:eastAsia="ko-KR" w:bidi="ar-SA"/>
    </w:rPr>
  </w:style>
  <w:style w:type="character" w:styleId="15">
    <w:name w:val="endnote reference"/>
    <w:semiHidden/>
    <w:unhideWhenUsed/>
    <w:qFormat/>
    <w:uiPriority w:val="99"/>
    <w:rPr>
      <w:vertAlign w:val="superscript"/>
    </w:rPr>
  </w:style>
  <w:style w:type="character" w:styleId="16">
    <w:name w:val="Hyperlink"/>
    <w:unhideWhenUsed/>
    <w:qFormat/>
    <w:uiPriority w:val="99"/>
    <w:rPr>
      <w:color w:val="0563C1"/>
      <w:u w:val="single"/>
    </w:rPr>
  </w:style>
  <w:style w:type="character" w:styleId="17">
    <w:name w:val="footnote reference"/>
    <w:semiHidden/>
    <w:unhideWhenUsed/>
    <w:qFormat/>
    <w:uiPriority w:val="99"/>
    <w:rPr>
      <w:vertAlign w:val="superscript"/>
    </w:rPr>
  </w:style>
  <w:style w:type="paragraph" w:customStyle="1" w:styleId="18">
    <w:name w:val="굵은 텍스트1"/>
    <w:qFormat/>
    <w:uiPriority w:val="0"/>
    <w:rPr>
      <w:rFonts w:ascii="Times New Roman" w:hAnsi="Times New Roman" w:cs="Times New Roman" w:eastAsiaTheme="minorEastAsia"/>
      <w:b/>
      <w:bCs/>
      <w:sz w:val="24"/>
      <w:szCs w:val="24"/>
      <w:lang w:val="en-US" w:eastAsia="ko-KR" w:bidi="ar-SA"/>
    </w:rPr>
  </w:style>
  <w:style w:type="paragraph" w:styleId="19">
    <w:name w:val="List Paragraph"/>
    <w:qFormat/>
    <w:uiPriority w:val="0"/>
    <w:rPr>
      <w:rFonts w:ascii="Times New Roman" w:hAnsi="Times New Roman" w:cs="Times New Roman" w:eastAsiaTheme="minorEastAsia"/>
      <w:sz w:val="24"/>
      <w:szCs w:val="24"/>
      <w:lang w:val="en-US" w:eastAsia="ko-KR" w:bidi="ar-SA"/>
    </w:rPr>
  </w:style>
  <w:style w:type="character" w:customStyle="1" w:styleId="20">
    <w:name w:val="각주 텍스트 Char"/>
    <w:link w:val="11"/>
    <w:semiHidden/>
    <w:unhideWhenUsed/>
    <w:qFormat/>
    <w:uiPriority w:val="99"/>
    <w:rPr>
      <w:sz w:val="20"/>
      <w:szCs w:val="20"/>
    </w:rPr>
  </w:style>
  <w:style w:type="character" w:customStyle="1" w:styleId="21">
    <w:name w:val="미주 텍스트 Char"/>
    <w:link w:val="8"/>
    <w:semiHidden/>
    <w:unhideWhenUsed/>
    <w:qFormat/>
    <w:uiPriority w:val="99"/>
    <w:rPr>
      <w:sz w:val="20"/>
      <w:szCs w:val="20"/>
    </w:rPr>
  </w:style>
  <w:style w:type="character" w:customStyle="1" w:styleId="22">
    <w:name w:val="머리글 Char"/>
    <w:basedOn w:val="14"/>
    <w:link w:val="10"/>
    <w:qFormat/>
    <w:uiPriority w:val="99"/>
  </w:style>
  <w:style w:type="character" w:customStyle="1" w:styleId="23">
    <w:name w:val="바닥글 Char"/>
    <w:basedOn w:val="14"/>
    <w:link w:val="9"/>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704</Words>
  <Characters>4016</Characters>
  <Lines>33</Lines>
  <Paragraphs>9</Paragraphs>
  <TotalTime>15</TotalTime>
  <ScaleCrop>false</ScaleCrop>
  <LinksUpToDate>false</LinksUpToDate>
  <CharactersWithSpaces>4711</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2026-06-02T01:04:00Z</dcterms:created>
  <dc:creator>Un-named</dc:creator>
  <cp:lastModifiedBy>Sun Linhao</cp:lastModifiedBy>
  <dcterms:modified xsi:type="dcterms:W3CDTF">2026-06-18T17:25:53Z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6E4D56D6E083BD155FFE286A6CC15B12</vt:lpwstr>
  </property>
</Properties>
</file>